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902"/>
        <w:tblW w:w="0" w:type="auto"/>
        <w:tblLook w:val="04A0" w:firstRow="1" w:lastRow="0" w:firstColumn="1" w:lastColumn="0" w:noHBand="0" w:noVBand="1"/>
      </w:tblPr>
      <w:tblGrid>
        <w:gridCol w:w="9242"/>
      </w:tblGrid>
      <w:tr w:rsidR="0082694F" w:rsidTr="007539D3">
        <w:tc>
          <w:tcPr>
            <w:tcW w:w="9242" w:type="dxa"/>
            <w:shd w:val="clear" w:color="auto" w:fill="8DB3E2" w:themeFill="text2" w:themeFillTint="66"/>
          </w:tcPr>
          <w:p w:rsidR="0082694F" w:rsidRDefault="00D2427E" w:rsidP="00756F10">
            <w:pPr>
              <w:rPr>
                <w:rFonts w:ascii="Comic Sans MS" w:hAnsi="Comic Sans MS"/>
              </w:rPr>
            </w:pPr>
            <w:r>
              <w:rPr>
                <w:rFonts w:ascii="Comic Sans MS" w:hAnsi="Comic Sans MS"/>
                <w:noProof/>
                <w:lang w:eastAsia="en-GB"/>
              </w:rPr>
              <w:drawing>
                <wp:anchor distT="0" distB="0" distL="114300" distR="114300" simplePos="0" relativeHeight="251663360" behindDoc="0" locked="0" layoutInCell="1" allowOverlap="1" wp14:anchorId="798DB711" wp14:editId="4CB4F0C0">
                  <wp:simplePos x="0" y="0"/>
                  <wp:positionH relativeFrom="column">
                    <wp:posOffset>-1550504</wp:posOffset>
                  </wp:positionH>
                  <wp:positionV relativeFrom="paragraph">
                    <wp:posOffset>-271061</wp:posOffset>
                  </wp:positionV>
                  <wp:extent cx="969645" cy="103060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03060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4384" behindDoc="0" locked="0" layoutInCell="1" allowOverlap="1" wp14:anchorId="5484CD0A" wp14:editId="05BAE9EE">
                  <wp:simplePos x="0" y="0"/>
                  <wp:positionH relativeFrom="column">
                    <wp:posOffset>4286250</wp:posOffset>
                  </wp:positionH>
                  <wp:positionV relativeFrom="paragraph">
                    <wp:posOffset>-205105</wp:posOffset>
                  </wp:positionV>
                  <wp:extent cx="969645" cy="103060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030605"/>
                          </a:xfrm>
                          <a:prstGeom prst="rect">
                            <a:avLst/>
                          </a:prstGeom>
                          <a:noFill/>
                        </pic:spPr>
                      </pic:pic>
                    </a:graphicData>
                  </a:graphic>
                  <wp14:sizeRelH relativeFrom="page">
                    <wp14:pctWidth>0</wp14:pctWidth>
                  </wp14:sizeRelH>
                  <wp14:sizeRelV relativeFrom="page">
                    <wp14:pctHeight>0</wp14:pctHeight>
                  </wp14:sizeRelV>
                </wp:anchor>
              </w:drawing>
            </w:r>
            <w:r w:rsidR="007539D3">
              <w:rPr>
                <w:rFonts w:ascii="Comic Sans MS" w:hAnsi="Comic Sans MS"/>
                <w:noProof/>
                <w:lang w:eastAsia="en-GB"/>
              </w:rPr>
              <w:drawing>
                <wp:anchor distT="0" distB="0" distL="114300" distR="114300" simplePos="0" relativeHeight="251662336" behindDoc="1" locked="0" layoutInCell="1" allowOverlap="1" wp14:anchorId="6EACF526" wp14:editId="7C459AA7">
                  <wp:simplePos x="0" y="0"/>
                  <wp:positionH relativeFrom="column">
                    <wp:posOffset>-65405</wp:posOffset>
                  </wp:positionH>
                  <wp:positionV relativeFrom="paragraph">
                    <wp:posOffset>3810</wp:posOffset>
                  </wp:positionV>
                  <wp:extent cx="969645" cy="1030605"/>
                  <wp:effectExtent l="0" t="0" r="1905" b="0"/>
                  <wp:wrapTight wrapText="bothSides">
                    <wp:wrapPolygon edited="0">
                      <wp:start x="0" y="0"/>
                      <wp:lineTo x="0" y="21161"/>
                      <wp:lineTo x="21218" y="21161"/>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030605"/>
                          </a:xfrm>
                          <a:prstGeom prst="rect">
                            <a:avLst/>
                          </a:prstGeom>
                          <a:noFill/>
                        </pic:spPr>
                      </pic:pic>
                    </a:graphicData>
                  </a:graphic>
                  <wp14:sizeRelH relativeFrom="page">
                    <wp14:pctWidth>0</wp14:pctWidth>
                  </wp14:sizeRelH>
                  <wp14:sizeRelV relativeFrom="page">
                    <wp14:pctHeight>0</wp14:pctHeight>
                  </wp14:sizeRelV>
                </wp:anchor>
              </w:drawing>
            </w:r>
            <w:r w:rsidR="001452B0">
              <w:rPr>
                <w:rFonts w:ascii="Comic Sans MS" w:hAnsi="Comic Sans MS"/>
              </w:rPr>
              <w:t>Curriculum Policy for</w:t>
            </w:r>
            <w:r w:rsidR="00984BF3">
              <w:rPr>
                <w:rFonts w:ascii="Comic Sans MS" w:hAnsi="Comic Sans MS"/>
              </w:rPr>
              <w:t xml:space="preserve"> CEIAG and </w:t>
            </w:r>
            <w:r w:rsidR="00097104">
              <w:rPr>
                <w:rFonts w:ascii="Comic Sans MS" w:hAnsi="Comic Sans MS"/>
              </w:rPr>
              <w:t xml:space="preserve">Work Related Learning </w:t>
            </w:r>
            <w:r w:rsidR="0082694F" w:rsidRPr="0082694F">
              <w:rPr>
                <w:rFonts w:ascii="Comic Sans MS" w:hAnsi="Comic Sans MS"/>
              </w:rPr>
              <w:t xml:space="preserve"> </w:t>
            </w:r>
          </w:p>
          <w:p w:rsidR="00756F10" w:rsidRDefault="00756F10" w:rsidP="00756F10">
            <w:pPr>
              <w:rPr>
                <w:rFonts w:ascii="Comic Sans MS" w:hAnsi="Comic Sans MS"/>
              </w:rPr>
            </w:pPr>
          </w:p>
          <w:p w:rsidR="00756F10" w:rsidRPr="0082694F" w:rsidRDefault="00756F10" w:rsidP="00756F10">
            <w:pPr>
              <w:rPr>
                <w:rFonts w:ascii="Comic Sans MS" w:hAnsi="Comic Sans MS"/>
              </w:rPr>
            </w:pPr>
            <w:r>
              <w:rPr>
                <w:rFonts w:ascii="Comic Sans MS" w:hAnsi="Comic Sans MS"/>
              </w:rPr>
              <w:t>Policy agreed by the Governing Body 05/07/2019</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Equality Statement</w:t>
            </w:r>
          </w:p>
        </w:tc>
      </w:tr>
      <w:tr w:rsidR="0082694F" w:rsidTr="007539D3">
        <w:tc>
          <w:tcPr>
            <w:tcW w:w="9242" w:type="dxa"/>
          </w:tcPr>
          <w:p w:rsidR="0082694F" w:rsidRPr="00E835F5" w:rsidRDefault="0082694F" w:rsidP="007539D3">
            <w:pPr>
              <w:jc w:val="both"/>
              <w:rPr>
                <w:rFonts w:ascii="Comic Sans MS" w:eastAsia="Times New Roman" w:hAnsi="Comic Sans MS" w:cs="Arial"/>
                <w:b/>
                <w:sz w:val="20"/>
              </w:rPr>
            </w:pPr>
            <w:r w:rsidRPr="00E835F5">
              <w:rPr>
                <w:rFonts w:ascii="Comic Sans MS" w:eastAsia="Times New Roman" w:hAnsi="Comic Sans MS" w:cs="Arial"/>
                <w:b/>
                <w:sz w:val="20"/>
              </w:rPr>
              <w:t>Equalities Act 2010</w:t>
            </w:r>
          </w:p>
          <w:p w:rsidR="0082694F" w:rsidRPr="00E835F5" w:rsidRDefault="0082694F" w:rsidP="007539D3">
            <w:pPr>
              <w:rPr>
                <w:rFonts w:ascii="Comic Sans MS" w:eastAsia="Times New Roman" w:hAnsi="Comic Sans MS" w:cs="Arial"/>
                <w:sz w:val="20"/>
                <w:lang w:eastAsia="en-GB"/>
              </w:rPr>
            </w:pPr>
            <w:r w:rsidRPr="00E835F5">
              <w:rPr>
                <w:rFonts w:ascii="Comic Sans MS" w:eastAsia="Times New Roman" w:hAnsi="Comic Sans MS" w:cs="Arial"/>
                <w:sz w:val="20"/>
                <w:lang w:eastAsia="en-GB"/>
              </w:rPr>
              <w:t>The Equality Act 2010 has been drawn up to tackle inequality and prevent discrimination against people on the basis of ‘protected characteristics’.  It brings together several existing laws and aims to make understanding the law simpler.  It also introduces a new single public sector equality duty, which requires public bodies to actively advance equality.</w:t>
            </w:r>
          </w:p>
          <w:p w:rsidR="0082694F" w:rsidRPr="00E835F5" w:rsidRDefault="0082694F" w:rsidP="007539D3">
            <w:pPr>
              <w:jc w:val="both"/>
              <w:rPr>
                <w:rFonts w:ascii="Comic Sans MS" w:eastAsia="Times New Roman" w:hAnsi="Comic Sans MS" w:cs="Arial"/>
                <w:sz w:val="20"/>
              </w:rPr>
            </w:pPr>
            <w:r w:rsidRPr="00E835F5">
              <w:rPr>
                <w:rFonts w:ascii="Comic Sans MS" w:eastAsia="Times New Roman" w:hAnsi="Comic Sans MS" w:cs="Arial"/>
                <w:sz w:val="20"/>
              </w:rPr>
              <w:t>All policies at North Ridge take account of this Act.</w:t>
            </w:r>
          </w:p>
          <w:p w:rsidR="0082694F" w:rsidRPr="00B05299" w:rsidRDefault="0099305D" w:rsidP="007539D3">
            <w:pPr>
              <w:rPr>
                <w:rFonts w:ascii="Comic Sans MS" w:hAnsi="Comic Sans MS"/>
                <w:sz w:val="20"/>
                <w:szCs w:val="20"/>
              </w:rPr>
            </w:pPr>
            <w:r w:rsidRPr="00B05299">
              <w:rPr>
                <w:rFonts w:ascii="Comic Sans MS" w:hAnsi="Comic Sans MS"/>
                <w:sz w:val="20"/>
                <w:szCs w:val="20"/>
              </w:rPr>
              <w:t>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UNICEF Rights of The Child</w:t>
            </w:r>
          </w:p>
        </w:tc>
      </w:tr>
      <w:tr w:rsidR="0082694F" w:rsidTr="007539D3">
        <w:tc>
          <w:tcPr>
            <w:tcW w:w="9242" w:type="dxa"/>
          </w:tcPr>
          <w:p w:rsidR="00097104" w:rsidRPr="0082694F" w:rsidRDefault="00097104" w:rsidP="007539D3">
            <w:pPr>
              <w:rPr>
                <w:rFonts w:ascii="Comic Sans MS" w:hAnsi="Comic Sans MS"/>
              </w:rPr>
            </w:pPr>
            <w:r w:rsidRPr="0082694F">
              <w:rPr>
                <w:rFonts w:ascii="Comic Sans MS" w:hAnsi="Comic Sans MS"/>
              </w:rPr>
              <w:t>Article:</w:t>
            </w:r>
            <w:r>
              <w:rPr>
                <w:rFonts w:ascii="Comic Sans MS" w:hAnsi="Comic Sans MS"/>
              </w:rPr>
              <w:t xml:space="preserve"> 23 (every child had a right to specialist education)</w:t>
            </w:r>
          </w:p>
          <w:p w:rsidR="0082694F" w:rsidRDefault="0082694F" w:rsidP="007539D3">
            <w:pPr>
              <w:rPr>
                <w:rFonts w:ascii="Comic Sans MS" w:hAnsi="Comic Sans MS"/>
              </w:rPr>
            </w:pPr>
          </w:p>
          <w:p w:rsidR="005F7880" w:rsidRPr="0082694F" w:rsidRDefault="005F7880" w:rsidP="007539D3">
            <w:pPr>
              <w:rPr>
                <w:rFonts w:ascii="Comic Sans MS" w:hAnsi="Comic Sans MS"/>
              </w:rPr>
            </w:pP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Purpose</w:t>
            </w:r>
            <w:r w:rsidR="0069405C">
              <w:rPr>
                <w:rFonts w:ascii="Comic Sans MS" w:hAnsi="Comic Sans MS"/>
              </w:rPr>
              <w:t>/Rationale</w:t>
            </w:r>
          </w:p>
        </w:tc>
      </w:tr>
      <w:tr w:rsidR="0082694F" w:rsidTr="007539D3">
        <w:tc>
          <w:tcPr>
            <w:tcW w:w="9242" w:type="dxa"/>
          </w:tcPr>
          <w:p w:rsidR="00097104" w:rsidRDefault="00097104" w:rsidP="007539D3">
            <w:pPr>
              <w:rPr>
                <w:rFonts w:ascii="Comic Sans MS" w:hAnsi="Comic Sans MS"/>
                <w:sz w:val="20"/>
                <w:szCs w:val="20"/>
              </w:rPr>
            </w:pPr>
            <w:r w:rsidRPr="00B05299">
              <w:rPr>
                <w:rFonts w:ascii="Comic Sans MS" w:hAnsi="Comic Sans MS"/>
                <w:sz w:val="20"/>
                <w:szCs w:val="20"/>
              </w:rPr>
              <w:t xml:space="preserve">All young people have a right to work and the status this brings.  All students at North Ridge have </w:t>
            </w:r>
            <w:r w:rsidR="00984BF3" w:rsidRPr="00B05299">
              <w:rPr>
                <w:rFonts w:ascii="Comic Sans MS" w:hAnsi="Comic Sans MS"/>
                <w:sz w:val="20"/>
                <w:szCs w:val="20"/>
              </w:rPr>
              <w:t xml:space="preserve">access to a range </w:t>
            </w:r>
            <w:r w:rsidRPr="00B05299">
              <w:rPr>
                <w:rFonts w:ascii="Comic Sans MS" w:hAnsi="Comic Sans MS"/>
                <w:sz w:val="20"/>
                <w:szCs w:val="20"/>
              </w:rPr>
              <w:t>of activities to help them choose 14-19 pathways that are right for them.  Students lea</w:t>
            </w:r>
            <w:r w:rsidR="003E3319" w:rsidRPr="00B05299">
              <w:rPr>
                <w:rFonts w:ascii="Comic Sans MS" w:hAnsi="Comic Sans MS"/>
                <w:sz w:val="20"/>
                <w:szCs w:val="20"/>
              </w:rPr>
              <w:t>r</w:t>
            </w:r>
            <w:r w:rsidRPr="00B05299">
              <w:rPr>
                <w:rFonts w:ascii="Comic Sans MS" w:hAnsi="Comic Sans MS"/>
                <w:sz w:val="20"/>
                <w:szCs w:val="20"/>
              </w:rPr>
              <w:t>n best through experience therefore employer engagement and work experience are essential for students to develop their skills.</w:t>
            </w:r>
          </w:p>
          <w:p w:rsidR="00EE7808" w:rsidRPr="00B05299" w:rsidRDefault="00EE7808" w:rsidP="007539D3">
            <w:pPr>
              <w:rPr>
                <w:rFonts w:ascii="Comic Sans MS" w:hAnsi="Comic Sans MS"/>
                <w:sz w:val="20"/>
                <w:szCs w:val="20"/>
              </w:rPr>
            </w:pPr>
            <w:r>
              <w:rPr>
                <w:rFonts w:ascii="Comic Sans MS" w:hAnsi="Comic Sans MS"/>
                <w:sz w:val="20"/>
                <w:szCs w:val="20"/>
              </w:rPr>
              <w:t>This policy has been written with reference to the Careers Statutory Guidance 2018 and takes account of the Gatsby benchmarks.</w:t>
            </w:r>
          </w:p>
          <w:p w:rsidR="0082694F" w:rsidRPr="0086419A" w:rsidRDefault="0082694F" w:rsidP="007539D3"/>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Overview</w:t>
            </w:r>
          </w:p>
        </w:tc>
      </w:tr>
      <w:tr w:rsidR="0082694F" w:rsidTr="007539D3">
        <w:tc>
          <w:tcPr>
            <w:tcW w:w="9242" w:type="dxa"/>
          </w:tcPr>
          <w:p w:rsidR="001A653E" w:rsidRPr="002A45E5" w:rsidRDefault="008A4D1B" w:rsidP="007539D3">
            <w:pPr>
              <w:pStyle w:val="PlainText"/>
              <w:rPr>
                <w:rFonts w:ascii="Comic Sans MS" w:hAnsi="Comic Sans MS"/>
                <w:sz w:val="20"/>
                <w:szCs w:val="20"/>
              </w:rPr>
            </w:pPr>
            <w:r w:rsidRPr="002A45E5">
              <w:rPr>
                <w:rFonts w:ascii="Comic Sans MS" w:hAnsi="Comic Sans MS"/>
                <w:sz w:val="20"/>
                <w:szCs w:val="20"/>
              </w:rPr>
              <w:t xml:space="preserve">North Ridge High School has a service level agreement with Career connect to provide impartial </w:t>
            </w:r>
            <w:r w:rsidR="00C34571" w:rsidRPr="002A45E5">
              <w:rPr>
                <w:rFonts w:ascii="Comic Sans MS" w:hAnsi="Comic Sans MS"/>
                <w:sz w:val="20"/>
                <w:szCs w:val="20"/>
              </w:rPr>
              <w:t>c</w:t>
            </w:r>
            <w:r w:rsidRPr="002A45E5">
              <w:rPr>
                <w:rFonts w:ascii="Comic Sans MS" w:hAnsi="Comic Sans MS"/>
                <w:sz w:val="20"/>
                <w:szCs w:val="20"/>
              </w:rPr>
              <w:t>areers</w:t>
            </w:r>
            <w:r w:rsidR="00C34571" w:rsidRPr="002A45E5">
              <w:rPr>
                <w:rFonts w:ascii="Comic Sans MS" w:hAnsi="Comic Sans MS"/>
                <w:sz w:val="20"/>
                <w:szCs w:val="20"/>
              </w:rPr>
              <w:t xml:space="preserve"> education, </w:t>
            </w:r>
            <w:r w:rsidRPr="002A45E5">
              <w:rPr>
                <w:rFonts w:ascii="Comic Sans MS" w:hAnsi="Comic Sans MS"/>
                <w:sz w:val="20"/>
                <w:szCs w:val="20"/>
              </w:rPr>
              <w:t>advice and guidance to young people at the point of transition.</w:t>
            </w:r>
          </w:p>
          <w:p w:rsidR="008A4D1B" w:rsidRPr="0082694F" w:rsidRDefault="00C34571" w:rsidP="007539D3">
            <w:pPr>
              <w:pStyle w:val="PlainText"/>
              <w:rPr>
                <w:rFonts w:ascii="Comic Sans MS" w:hAnsi="Comic Sans MS"/>
              </w:rPr>
            </w:pPr>
            <w:r w:rsidRPr="002A45E5">
              <w:rPr>
                <w:rFonts w:ascii="Comic Sans MS" w:hAnsi="Comic Sans MS"/>
                <w:sz w:val="20"/>
                <w:szCs w:val="20"/>
              </w:rPr>
              <w:t>The careers adviser differentiates her sessions</w:t>
            </w:r>
            <w:r>
              <w:rPr>
                <w:rFonts w:ascii="Comic Sans MS" w:hAnsi="Comic Sans MS"/>
                <w:sz w:val="20"/>
                <w:szCs w:val="20"/>
              </w:rPr>
              <w:t xml:space="preserve"> </w:t>
            </w:r>
            <w:r w:rsidR="002A45E5">
              <w:rPr>
                <w:rFonts w:ascii="Comic Sans MS" w:hAnsi="Comic Sans MS"/>
                <w:sz w:val="20"/>
                <w:szCs w:val="20"/>
              </w:rPr>
              <w:t xml:space="preserve">to ensure that </w:t>
            </w:r>
            <w:proofErr w:type="gramStart"/>
            <w:r w:rsidR="002A45E5">
              <w:rPr>
                <w:rFonts w:ascii="Comic Sans MS" w:hAnsi="Comic Sans MS"/>
                <w:sz w:val="20"/>
                <w:szCs w:val="20"/>
              </w:rPr>
              <w:t>pupils</w:t>
            </w:r>
            <w:proofErr w:type="gramEnd"/>
            <w:r w:rsidR="002A45E5">
              <w:rPr>
                <w:rFonts w:ascii="Comic Sans MS" w:hAnsi="Comic Sans MS"/>
                <w:sz w:val="20"/>
                <w:szCs w:val="20"/>
              </w:rPr>
              <w:t xml:space="preserve"> needs are met.</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Aims</w:t>
            </w:r>
          </w:p>
        </w:tc>
      </w:tr>
      <w:tr w:rsidR="0082694F" w:rsidTr="007539D3">
        <w:tc>
          <w:tcPr>
            <w:tcW w:w="9242" w:type="dxa"/>
          </w:tcPr>
          <w:p w:rsidR="009472F9" w:rsidRPr="00065E81" w:rsidRDefault="009472F9" w:rsidP="002A45E5">
            <w:p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Students will have access to</w:t>
            </w:r>
            <w:r w:rsidR="00065E81" w:rsidRPr="00065E81">
              <w:rPr>
                <w:rFonts w:ascii="Comic Sans MS" w:eastAsia="Times New Roman" w:hAnsi="Comic Sans MS" w:cs="Times New Roman"/>
                <w:sz w:val="20"/>
                <w:szCs w:val="20"/>
              </w:rPr>
              <w:t xml:space="preserve"> CEIAG and </w:t>
            </w:r>
            <w:r w:rsidRPr="00065E81">
              <w:rPr>
                <w:rFonts w:ascii="Comic Sans MS" w:eastAsia="Times New Roman" w:hAnsi="Comic Sans MS" w:cs="Times New Roman"/>
                <w:sz w:val="20"/>
                <w:szCs w:val="20"/>
              </w:rPr>
              <w:t xml:space="preserve"> work related learning to enable them to:</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Develop a realistic awareness of their abilities and strengths</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Develop a range of life skills to promote independence</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Develop their ability to make informed decisions and choices</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Develop the ability with support as required to plan a realistic and challenging career path</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Develop knowledge skills and understanding related to work</w:t>
            </w:r>
          </w:p>
          <w:p w:rsidR="009472F9" w:rsidRPr="00065E81" w:rsidRDefault="009472F9" w:rsidP="007539D3">
            <w:pPr>
              <w:numPr>
                <w:ilvl w:val="0"/>
                <w:numId w:val="5"/>
              </w:numPr>
              <w:autoSpaceDE w:val="0"/>
              <w:autoSpaceDN w:val="0"/>
              <w:adjustRightInd w:val="0"/>
              <w:rPr>
                <w:rFonts w:ascii="Comic Sans MS" w:eastAsia="Times New Roman" w:hAnsi="Comic Sans MS" w:cs="Times New Roman"/>
                <w:sz w:val="20"/>
                <w:szCs w:val="20"/>
                <w:lang w:val="en-US"/>
              </w:rPr>
            </w:pPr>
            <w:r w:rsidRPr="00065E81">
              <w:rPr>
                <w:rFonts w:ascii="Comic Sans MS" w:eastAsia="Times New Roman" w:hAnsi="Comic Sans MS" w:cs="Times New Roman"/>
                <w:sz w:val="20"/>
                <w:szCs w:val="20"/>
                <w:lang w:val="en-US"/>
              </w:rPr>
              <w:t>Understand themselves and develop their capabilities (self-development)</w:t>
            </w:r>
          </w:p>
          <w:p w:rsidR="009472F9" w:rsidRPr="00065E81" w:rsidRDefault="009472F9" w:rsidP="007539D3">
            <w:pPr>
              <w:numPr>
                <w:ilvl w:val="0"/>
                <w:numId w:val="5"/>
              </w:numPr>
              <w:autoSpaceDE w:val="0"/>
              <w:autoSpaceDN w:val="0"/>
              <w:adjustRightInd w:val="0"/>
              <w:rPr>
                <w:rFonts w:ascii="Comic Sans MS" w:eastAsia="Times New Roman" w:hAnsi="Comic Sans MS" w:cs="Times New Roman"/>
                <w:sz w:val="20"/>
                <w:szCs w:val="20"/>
                <w:lang w:val="en-US"/>
              </w:rPr>
            </w:pPr>
            <w:r w:rsidRPr="00065E81">
              <w:rPr>
                <w:rFonts w:ascii="Comic Sans MS" w:eastAsia="Times New Roman" w:hAnsi="Comic Sans MS" w:cs="Times New Roman"/>
                <w:sz w:val="20"/>
                <w:szCs w:val="20"/>
                <w:lang w:val="en-US"/>
              </w:rPr>
              <w:t>Investigate careers and opportunities (career exploration)</w:t>
            </w:r>
          </w:p>
          <w:p w:rsidR="009472F9" w:rsidRPr="00065E81" w:rsidRDefault="009472F9" w:rsidP="007539D3">
            <w:pPr>
              <w:numPr>
                <w:ilvl w:val="0"/>
                <w:numId w:val="5"/>
              </w:numPr>
              <w:jc w:val="both"/>
              <w:rPr>
                <w:rFonts w:ascii="Comic Sans MS" w:eastAsia="Times New Roman" w:hAnsi="Comic Sans MS" w:cs="Times New Roman"/>
                <w:sz w:val="20"/>
                <w:szCs w:val="20"/>
              </w:rPr>
            </w:pPr>
            <w:r w:rsidRPr="00065E81">
              <w:rPr>
                <w:rFonts w:ascii="Comic Sans MS" w:eastAsia="Times New Roman" w:hAnsi="Comic Sans MS" w:cs="Times New Roman"/>
                <w:sz w:val="20"/>
                <w:szCs w:val="20"/>
                <w:lang w:val="en-US"/>
              </w:rPr>
              <w:t>Implement their career plans (career management)</w:t>
            </w:r>
          </w:p>
          <w:p w:rsidR="009472F9" w:rsidRPr="00065E81" w:rsidRDefault="00B05299" w:rsidP="007539D3">
            <w:pPr>
              <w:numPr>
                <w:ilvl w:val="0"/>
                <w:numId w:val="5"/>
              </w:numPr>
              <w:rPr>
                <w:rFonts w:ascii="Comic Sans MS" w:eastAsia="Times New Roman" w:hAnsi="Comic Sans MS" w:cs="Times New Roman"/>
                <w:sz w:val="20"/>
                <w:szCs w:val="20"/>
              </w:rPr>
            </w:pPr>
            <w:r>
              <w:rPr>
                <w:rFonts w:ascii="Comic Sans MS" w:eastAsia="Times New Roman" w:hAnsi="Comic Sans MS" w:cs="Times New Roman"/>
                <w:sz w:val="20"/>
                <w:szCs w:val="20"/>
              </w:rPr>
              <w:t>Achieve</w:t>
            </w:r>
            <w:r w:rsidR="009472F9" w:rsidRPr="00065E81">
              <w:rPr>
                <w:rFonts w:ascii="Comic Sans MS" w:eastAsia="Times New Roman" w:hAnsi="Comic Sans MS" w:cs="Times New Roman"/>
                <w:sz w:val="20"/>
                <w:szCs w:val="20"/>
              </w:rPr>
              <w:t xml:space="preserve"> employability skills by enhanced understanding </w:t>
            </w:r>
            <w:r w:rsidR="00F1210C">
              <w:rPr>
                <w:rFonts w:ascii="Comic Sans MS" w:eastAsia="Times New Roman" w:hAnsi="Comic Sans MS" w:cs="Times New Roman"/>
                <w:sz w:val="20"/>
                <w:szCs w:val="20"/>
              </w:rPr>
              <w:t xml:space="preserve">of </w:t>
            </w:r>
            <w:r w:rsidR="009472F9" w:rsidRPr="00065E81">
              <w:rPr>
                <w:rFonts w:ascii="Comic Sans MS" w:eastAsia="Times New Roman" w:hAnsi="Comic Sans MS" w:cs="Times New Roman"/>
                <w:sz w:val="20"/>
                <w:szCs w:val="20"/>
              </w:rPr>
              <w:t>specific occupations;</w:t>
            </w:r>
          </w:p>
          <w:p w:rsidR="009472F9" w:rsidRPr="00065E81" w:rsidRDefault="009472F9" w:rsidP="007539D3">
            <w:pPr>
              <w:numPr>
                <w:ilvl w:val="0"/>
                <w:numId w:val="5"/>
              </w:numPr>
              <w:rPr>
                <w:rFonts w:ascii="Comic Sans MS" w:eastAsia="Times New Roman" w:hAnsi="Comic Sans MS" w:cs="Times New Roman"/>
                <w:sz w:val="20"/>
                <w:szCs w:val="20"/>
              </w:rPr>
            </w:pPr>
            <w:r w:rsidRPr="00065E81">
              <w:rPr>
                <w:rFonts w:ascii="Comic Sans MS" w:eastAsia="Times New Roman" w:hAnsi="Comic Sans MS" w:cs="Times New Roman"/>
                <w:sz w:val="20"/>
                <w:szCs w:val="20"/>
              </w:rPr>
              <w:t>Learn</w:t>
            </w:r>
            <w:r w:rsidR="00B05299">
              <w:rPr>
                <w:rFonts w:ascii="Comic Sans MS" w:eastAsia="Times New Roman" w:hAnsi="Comic Sans MS" w:cs="Times New Roman"/>
                <w:sz w:val="20"/>
                <w:szCs w:val="20"/>
              </w:rPr>
              <w:t xml:space="preserve"> </w:t>
            </w:r>
            <w:r w:rsidRPr="00065E81">
              <w:rPr>
                <w:rFonts w:ascii="Comic Sans MS" w:eastAsia="Times New Roman" w:hAnsi="Comic Sans MS" w:cs="Times New Roman"/>
                <w:sz w:val="20"/>
                <w:szCs w:val="20"/>
              </w:rPr>
              <w:t xml:space="preserve">about the world of work </w:t>
            </w:r>
            <w:r w:rsidR="00F1210C">
              <w:rPr>
                <w:rFonts w:ascii="Comic Sans MS" w:eastAsia="Times New Roman" w:hAnsi="Comic Sans MS" w:cs="Times New Roman"/>
                <w:sz w:val="20"/>
                <w:szCs w:val="20"/>
              </w:rPr>
              <w:t>to prepare</w:t>
            </w:r>
            <w:r w:rsidRPr="00065E81">
              <w:rPr>
                <w:rFonts w:ascii="Comic Sans MS" w:eastAsia="Times New Roman" w:hAnsi="Comic Sans MS" w:cs="Times New Roman"/>
                <w:sz w:val="20"/>
                <w:szCs w:val="20"/>
              </w:rPr>
              <w:t xml:space="preserve"> for the transition from education and training to work;</w:t>
            </w:r>
          </w:p>
          <w:p w:rsidR="0086419A" w:rsidRPr="0086419A" w:rsidRDefault="0086419A" w:rsidP="00B05299">
            <w:pPr>
              <w:ind w:left="720"/>
              <w:rPr>
                <w:rFonts w:ascii="Comic Sans MS" w:hAnsi="Comic Sans MS"/>
              </w:rPr>
            </w:pP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lastRenderedPageBreak/>
              <w:t>Teaching &amp; learning</w:t>
            </w:r>
          </w:p>
        </w:tc>
      </w:tr>
      <w:tr w:rsidR="0082694F" w:rsidTr="007539D3">
        <w:tc>
          <w:tcPr>
            <w:tcW w:w="9242" w:type="dxa"/>
          </w:tcPr>
          <w:p w:rsidR="005B4886" w:rsidRDefault="005B4886" w:rsidP="007539D3">
            <w:pPr>
              <w:jc w:val="both"/>
              <w:rPr>
                <w:rFonts w:ascii="Times New Roman" w:eastAsia="Times New Roman" w:hAnsi="Times New Roman" w:cs="Times New Roman"/>
                <w:iCs/>
                <w:color w:val="000000"/>
                <w:szCs w:val="20"/>
              </w:rPr>
            </w:pPr>
          </w:p>
          <w:p w:rsidR="005B4886" w:rsidRPr="008A4D1B" w:rsidRDefault="005B4886" w:rsidP="005B4886">
            <w:pPr>
              <w:pStyle w:val="PlainText"/>
              <w:rPr>
                <w:rFonts w:ascii="Comic Sans MS" w:hAnsi="Comic Sans MS"/>
                <w:sz w:val="20"/>
                <w:szCs w:val="20"/>
              </w:rPr>
            </w:pPr>
            <w:r w:rsidRPr="008A4D1B">
              <w:rPr>
                <w:rFonts w:ascii="Comic Sans MS" w:hAnsi="Comic Sans MS"/>
                <w:sz w:val="20"/>
                <w:szCs w:val="20"/>
              </w:rPr>
              <w:t>Students at North Ridge High School learn about careers in KS3 in PHSCE.  All students will have a minimum of one employer engagement per year in a practical setting either in school or in the employers’ work place.</w:t>
            </w:r>
          </w:p>
          <w:p w:rsidR="005B4886" w:rsidRPr="008A4D1B" w:rsidRDefault="005B4886" w:rsidP="005B4886">
            <w:pPr>
              <w:pStyle w:val="PlainText"/>
              <w:rPr>
                <w:rFonts w:ascii="Comic Sans MS" w:hAnsi="Comic Sans MS"/>
                <w:sz w:val="20"/>
                <w:szCs w:val="20"/>
              </w:rPr>
            </w:pPr>
            <w:r w:rsidRPr="008A4D1B">
              <w:rPr>
                <w:rFonts w:ascii="Comic Sans MS" w:hAnsi="Comic Sans MS"/>
                <w:sz w:val="20"/>
                <w:szCs w:val="20"/>
              </w:rPr>
              <w:t xml:space="preserve">In Key stage 4 all students will have a work </w:t>
            </w:r>
            <w:r w:rsidR="0040753F">
              <w:rPr>
                <w:rFonts w:ascii="Comic Sans MS" w:hAnsi="Comic Sans MS"/>
                <w:sz w:val="20"/>
                <w:szCs w:val="20"/>
              </w:rPr>
              <w:t>experience placement in an area to suit their individual needs.  Placements available include; sports leaders, working in a restaurant, working on an allotment and working in a residential setting.  This is the introduction to understanding different job roles and identifying personal skills and aspirations.</w:t>
            </w:r>
          </w:p>
          <w:p w:rsidR="005B4886" w:rsidRDefault="005B4886" w:rsidP="005B4886">
            <w:pPr>
              <w:pStyle w:val="PlainText"/>
              <w:rPr>
                <w:rFonts w:ascii="Comic Sans MS" w:hAnsi="Comic Sans MS"/>
                <w:sz w:val="20"/>
                <w:szCs w:val="20"/>
              </w:rPr>
            </w:pPr>
            <w:r w:rsidRPr="008A4D1B">
              <w:rPr>
                <w:rFonts w:ascii="Comic Sans MS" w:hAnsi="Comic Sans MS"/>
                <w:sz w:val="20"/>
                <w:szCs w:val="20"/>
              </w:rPr>
              <w:t>In key stage 5 students have an individual work related learning programme to include voluntary work, sports leader role, an administrative role, catering and retail according to their interests.</w:t>
            </w:r>
          </w:p>
          <w:p w:rsidR="005B4886" w:rsidRDefault="005B4886" w:rsidP="005B4886">
            <w:pPr>
              <w:jc w:val="both"/>
              <w:rPr>
                <w:rFonts w:ascii="Times New Roman" w:eastAsia="Times New Roman" w:hAnsi="Times New Roman" w:cs="Times New Roman"/>
                <w:iCs/>
                <w:color w:val="000000"/>
                <w:szCs w:val="20"/>
              </w:rPr>
            </w:pPr>
            <w:r>
              <w:rPr>
                <w:rFonts w:ascii="Comic Sans MS" w:hAnsi="Comic Sans MS"/>
                <w:sz w:val="20"/>
                <w:szCs w:val="20"/>
              </w:rPr>
              <w:t xml:space="preserve">Students in key stage 4 and 5 have a career action plan </w:t>
            </w:r>
            <w:r w:rsidR="002A45E5">
              <w:rPr>
                <w:rFonts w:ascii="Comic Sans MS" w:hAnsi="Comic Sans MS"/>
                <w:sz w:val="20"/>
                <w:szCs w:val="20"/>
              </w:rPr>
              <w:t xml:space="preserve">which is written by </w:t>
            </w:r>
            <w:r>
              <w:rPr>
                <w:rFonts w:ascii="Comic Sans MS" w:hAnsi="Comic Sans MS"/>
                <w:sz w:val="20"/>
                <w:szCs w:val="20"/>
              </w:rPr>
              <w:t>the careers adviser</w:t>
            </w:r>
            <w:r w:rsidR="002A45E5">
              <w:rPr>
                <w:rFonts w:ascii="Comic Sans MS" w:hAnsi="Comic Sans MS"/>
                <w:sz w:val="20"/>
                <w:szCs w:val="20"/>
              </w:rPr>
              <w:t xml:space="preserve"> taking into account students hopes and aspirations.</w:t>
            </w:r>
          </w:p>
          <w:p w:rsidR="0082694F" w:rsidRPr="0082694F" w:rsidRDefault="0082694F" w:rsidP="005B4886">
            <w:pPr>
              <w:jc w:val="both"/>
              <w:rPr>
                <w:rFonts w:ascii="Comic Sans MS" w:hAnsi="Comic Sans MS"/>
              </w:rPr>
            </w:pP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Planning</w:t>
            </w:r>
          </w:p>
        </w:tc>
      </w:tr>
      <w:tr w:rsidR="0082694F" w:rsidTr="007539D3">
        <w:tc>
          <w:tcPr>
            <w:tcW w:w="9242" w:type="dxa"/>
          </w:tcPr>
          <w:p w:rsidR="005B4886" w:rsidRPr="001F56F5" w:rsidRDefault="0086419A" w:rsidP="005C2464">
            <w:r w:rsidRPr="00E835F5">
              <w:rPr>
                <w:sz w:val="20"/>
              </w:rPr>
              <w:t xml:space="preserve"> </w:t>
            </w:r>
            <w:r w:rsidR="005B4886" w:rsidRPr="005B4886">
              <w:rPr>
                <w:rFonts w:ascii="Comic Sans MS" w:hAnsi="Comic Sans MS"/>
                <w:sz w:val="20"/>
              </w:rPr>
              <w:t>Planning will be in line with school policy and take a target focussed approach to learning.</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Assessment, Recording and Reporting</w:t>
            </w:r>
          </w:p>
        </w:tc>
      </w:tr>
      <w:tr w:rsidR="0082694F" w:rsidTr="007539D3">
        <w:tc>
          <w:tcPr>
            <w:tcW w:w="9242" w:type="dxa"/>
          </w:tcPr>
          <w:p w:rsidR="005C2464" w:rsidRDefault="005B4886" w:rsidP="005C2464">
            <w:pPr>
              <w:rPr>
                <w:rFonts w:ascii="Comic Sans MS" w:hAnsi="Comic Sans MS"/>
                <w:sz w:val="20"/>
                <w:szCs w:val="20"/>
              </w:rPr>
            </w:pPr>
            <w:r w:rsidRPr="003F063C">
              <w:rPr>
                <w:rFonts w:ascii="Comic Sans MS" w:hAnsi="Comic Sans MS"/>
                <w:sz w:val="20"/>
                <w:szCs w:val="20"/>
              </w:rPr>
              <w:t>KS3:</w:t>
            </w:r>
          </w:p>
          <w:p w:rsidR="005B4886" w:rsidRPr="005C2464" w:rsidRDefault="005B4886" w:rsidP="005C2464">
            <w:pPr>
              <w:pStyle w:val="ListParagraph"/>
              <w:numPr>
                <w:ilvl w:val="0"/>
                <w:numId w:val="6"/>
              </w:numPr>
              <w:rPr>
                <w:rFonts w:ascii="Comic Sans MS" w:hAnsi="Comic Sans MS"/>
              </w:rPr>
            </w:pPr>
            <w:bookmarkStart w:id="0" w:name="_GoBack"/>
            <w:bookmarkEnd w:id="0"/>
            <w:r w:rsidRPr="005C2464">
              <w:rPr>
                <w:rFonts w:ascii="Comic Sans MS" w:hAnsi="Comic Sans MS"/>
                <w:sz w:val="20"/>
                <w:szCs w:val="20"/>
              </w:rPr>
              <w:t>Records of Achievement showing work experience</w:t>
            </w:r>
          </w:p>
          <w:p w:rsidR="005B4886" w:rsidRPr="003F063C" w:rsidRDefault="005B4886" w:rsidP="005B4886">
            <w:pPr>
              <w:rPr>
                <w:rFonts w:ascii="Comic Sans MS" w:hAnsi="Comic Sans MS"/>
                <w:sz w:val="20"/>
                <w:szCs w:val="20"/>
              </w:rPr>
            </w:pPr>
            <w:r>
              <w:rPr>
                <w:rFonts w:ascii="Comic Sans MS" w:hAnsi="Comic Sans MS"/>
                <w:sz w:val="20"/>
                <w:szCs w:val="20"/>
              </w:rPr>
              <w:t>KS4</w:t>
            </w:r>
            <w:r w:rsidRPr="003F063C">
              <w:rPr>
                <w:rFonts w:ascii="Comic Sans MS" w:hAnsi="Comic Sans MS"/>
                <w:sz w:val="20"/>
                <w:szCs w:val="20"/>
              </w:rPr>
              <w:t>:</w:t>
            </w:r>
          </w:p>
          <w:p w:rsidR="005B4886" w:rsidRDefault="005B4886" w:rsidP="005B4886">
            <w:pPr>
              <w:pStyle w:val="ListParagraph"/>
              <w:numPr>
                <w:ilvl w:val="0"/>
                <w:numId w:val="3"/>
              </w:numPr>
              <w:rPr>
                <w:rFonts w:ascii="Comic Sans MS" w:hAnsi="Comic Sans MS"/>
                <w:sz w:val="20"/>
                <w:szCs w:val="20"/>
              </w:rPr>
            </w:pPr>
            <w:r>
              <w:rPr>
                <w:rFonts w:ascii="Comic Sans MS" w:hAnsi="Comic Sans MS"/>
                <w:sz w:val="20"/>
                <w:szCs w:val="20"/>
              </w:rPr>
              <w:t xml:space="preserve">Accreditation </w:t>
            </w:r>
          </w:p>
          <w:p w:rsidR="005B4886" w:rsidRDefault="005B4886" w:rsidP="005B4886">
            <w:pPr>
              <w:pStyle w:val="ListParagraph"/>
              <w:numPr>
                <w:ilvl w:val="0"/>
                <w:numId w:val="3"/>
              </w:numPr>
              <w:rPr>
                <w:rFonts w:ascii="Comic Sans MS" w:hAnsi="Comic Sans MS"/>
                <w:sz w:val="20"/>
                <w:szCs w:val="20"/>
              </w:rPr>
            </w:pPr>
            <w:r>
              <w:rPr>
                <w:rFonts w:ascii="Comic Sans MS" w:hAnsi="Comic Sans MS"/>
                <w:sz w:val="20"/>
                <w:szCs w:val="20"/>
              </w:rPr>
              <w:t xml:space="preserve">Work experience placements and diaries showing </w:t>
            </w:r>
            <w:r w:rsidR="00CF0D49">
              <w:rPr>
                <w:rFonts w:ascii="Comic Sans MS" w:hAnsi="Comic Sans MS"/>
                <w:sz w:val="20"/>
                <w:szCs w:val="20"/>
              </w:rPr>
              <w:t>self-assessment</w:t>
            </w:r>
            <w:r>
              <w:rPr>
                <w:rFonts w:ascii="Comic Sans MS" w:hAnsi="Comic Sans MS"/>
                <w:sz w:val="20"/>
                <w:szCs w:val="20"/>
              </w:rPr>
              <w:t>.</w:t>
            </w:r>
          </w:p>
          <w:p w:rsidR="005B4886" w:rsidRPr="003F063C" w:rsidRDefault="005B4886" w:rsidP="005B4886">
            <w:pPr>
              <w:rPr>
                <w:rFonts w:ascii="Comic Sans MS" w:hAnsi="Comic Sans MS"/>
                <w:sz w:val="20"/>
                <w:szCs w:val="20"/>
              </w:rPr>
            </w:pPr>
            <w:r>
              <w:rPr>
                <w:rFonts w:ascii="Comic Sans MS" w:hAnsi="Comic Sans MS"/>
                <w:sz w:val="20"/>
                <w:szCs w:val="20"/>
              </w:rPr>
              <w:t>KS5</w:t>
            </w:r>
            <w:r w:rsidRPr="003F063C">
              <w:rPr>
                <w:rFonts w:ascii="Comic Sans MS" w:hAnsi="Comic Sans MS"/>
                <w:sz w:val="20"/>
                <w:szCs w:val="20"/>
              </w:rPr>
              <w:t>:</w:t>
            </w:r>
          </w:p>
          <w:p w:rsidR="005B4886" w:rsidRDefault="005B4886" w:rsidP="005B4886">
            <w:pPr>
              <w:pStyle w:val="ListParagraph"/>
              <w:numPr>
                <w:ilvl w:val="0"/>
                <w:numId w:val="4"/>
              </w:numPr>
              <w:rPr>
                <w:rFonts w:ascii="Comic Sans MS" w:hAnsi="Comic Sans MS"/>
                <w:sz w:val="20"/>
                <w:szCs w:val="20"/>
              </w:rPr>
            </w:pPr>
            <w:r>
              <w:rPr>
                <w:rFonts w:ascii="Comic Sans MS" w:hAnsi="Comic Sans MS"/>
                <w:sz w:val="20"/>
                <w:szCs w:val="20"/>
              </w:rPr>
              <w:t>Learning logs for work placement</w:t>
            </w:r>
          </w:p>
          <w:p w:rsidR="005B4886" w:rsidRDefault="005B4886" w:rsidP="005B4886">
            <w:pPr>
              <w:pStyle w:val="ListParagraph"/>
              <w:numPr>
                <w:ilvl w:val="0"/>
                <w:numId w:val="4"/>
              </w:numPr>
              <w:rPr>
                <w:rFonts w:ascii="Comic Sans MS" w:hAnsi="Comic Sans MS"/>
                <w:sz w:val="20"/>
                <w:szCs w:val="20"/>
              </w:rPr>
            </w:pPr>
            <w:r>
              <w:rPr>
                <w:rFonts w:ascii="Comic Sans MS" w:hAnsi="Comic Sans MS"/>
                <w:sz w:val="20"/>
                <w:szCs w:val="20"/>
              </w:rPr>
              <w:t>Classroom monitor assessment tool</w:t>
            </w:r>
          </w:p>
          <w:p w:rsidR="005B4886" w:rsidRDefault="005B4886" w:rsidP="005B4886">
            <w:pPr>
              <w:pStyle w:val="ListParagraph"/>
              <w:numPr>
                <w:ilvl w:val="0"/>
                <w:numId w:val="4"/>
              </w:numPr>
              <w:rPr>
                <w:rFonts w:ascii="Comic Sans MS" w:hAnsi="Comic Sans MS"/>
                <w:sz w:val="20"/>
                <w:szCs w:val="20"/>
              </w:rPr>
            </w:pPr>
            <w:r>
              <w:rPr>
                <w:rFonts w:ascii="Comic Sans MS" w:hAnsi="Comic Sans MS"/>
                <w:sz w:val="20"/>
                <w:szCs w:val="20"/>
              </w:rPr>
              <w:t>Unit award scheme (UAS)</w:t>
            </w:r>
          </w:p>
          <w:p w:rsidR="003F063C" w:rsidRPr="003F063C" w:rsidRDefault="005B4886" w:rsidP="005B4886">
            <w:pPr>
              <w:pStyle w:val="ListParagraph"/>
              <w:numPr>
                <w:ilvl w:val="0"/>
                <w:numId w:val="4"/>
              </w:numPr>
              <w:rPr>
                <w:rFonts w:ascii="Comic Sans MS" w:hAnsi="Comic Sans MS"/>
              </w:rPr>
            </w:pPr>
            <w:r>
              <w:rPr>
                <w:rFonts w:ascii="Comic Sans MS" w:hAnsi="Comic Sans MS"/>
                <w:sz w:val="20"/>
                <w:szCs w:val="20"/>
              </w:rPr>
              <w:t>ASDAN  PSD, Employability or Personal Progress accreditation</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Staff Development</w:t>
            </w:r>
          </w:p>
        </w:tc>
      </w:tr>
      <w:tr w:rsidR="0082694F" w:rsidTr="007539D3">
        <w:tc>
          <w:tcPr>
            <w:tcW w:w="9242" w:type="dxa"/>
          </w:tcPr>
          <w:p w:rsidR="00507F9C" w:rsidRPr="002A45E5" w:rsidRDefault="00507F9C" w:rsidP="007539D3">
            <w:pPr>
              <w:rPr>
                <w:rFonts w:ascii="Comic Sans MS" w:hAnsi="Comic Sans MS"/>
                <w:sz w:val="20"/>
                <w:szCs w:val="20"/>
              </w:rPr>
            </w:pPr>
            <w:r w:rsidRPr="002A45E5">
              <w:rPr>
                <w:rFonts w:ascii="Comic Sans MS" w:hAnsi="Comic Sans MS"/>
                <w:sz w:val="20"/>
                <w:szCs w:val="20"/>
              </w:rPr>
              <w:t>CEIAG co-ordinator to attend available training.</w:t>
            </w:r>
          </w:p>
          <w:p w:rsidR="00507F9C" w:rsidRPr="0082694F" w:rsidRDefault="00507F9C" w:rsidP="007539D3">
            <w:pPr>
              <w:rPr>
                <w:rFonts w:ascii="Comic Sans MS" w:hAnsi="Comic Sans MS"/>
              </w:rPr>
            </w:pPr>
            <w:r w:rsidRPr="002A45E5">
              <w:rPr>
                <w:rFonts w:ascii="Comic Sans MS" w:hAnsi="Comic Sans MS"/>
                <w:sz w:val="20"/>
                <w:szCs w:val="20"/>
              </w:rPr>
              <w:t>Careers adviser to update on changes to guidance as required.</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Resources</w:t>
            </w:r>
          </w:p>
        </w:tc>
      </w:tr>
      <w:tr w:rsidR="0082694F" w:rsidTr="007539D3">
        <w:tc>
          <w:tcPr>
            <w:tcW w:w="9242" w:type="dxa"/>
          </w:tcPr>
          <w:p w:rsidR="005B4886" w:rsidRDefault="003E5A15" w:rsidP="003E5A15">
            <w:pPr>
              <w:rPr>
                <w:rFonts w:ascii="Comic Sans MS" w:hAnsi="Comic Sans MS"/>
                <w:sz w:val="20"/>
                <w:szCs w:val="20"/>
              </w:rPr>
            </w:pPr>
            <w:r w:rsidRPr="003E5A15">
              <w:rPr>
                <w:rFonts w:ascii="Comic Sans MS" w:hAnsi="Comic Sans MS"/>
                <w:sz w:val="20"/>
                <w:szCs w:val="20"/>
              </w:rPr>
              <w:t xml:space="preserve">The main resource is placements; Beefeater, Incredible Edibles, Manchester Dogs Home, North Manchester </w:t>
            </w:r>
            <w:r>
              <w:rPr>
                <w:rFonts w:ascii="Comic Sans MS" w:hAnsi="Comic Sans MS"/>
                <w:sz w:val="20"/>
                <w:szCs w:val="20"/>
              </w:rPr>
              <w:t>G</w:t>
            </w:r>
            <w:r w:rsidRPr="003E5A15">
              <w:rPr>
                <w:rFonts w:ascii="Comic Sans MS" w:hAnsi="Comic Sans MS"/>
                <w:sz w:val="20"/>
                <w:szCs w:val="20"/>
              </w:rPr>
              <w:t>eneral Hospital, Blackley Cemetery, Cup and Cake Café, Tesco, “Second hand made” shop plus many others.</w:t>
            </w:r>
          </w:p>
          <w:p w:rsidR="00337EFF" w:rsidRDefault="00337EFF" w:rsidP="003E5A15">
            <w:pPr>
              <w:rPr>
                <w:rFonts w:ascii="Comic Sans MS" w:hAnsi="Comic Sans MS"/>
                <w:sz w:val="20"/>
                <w:szCs w:val="20"/>
              </w:rPr>
            </w:pPr>
            <w:r>
              <w:rPr>
                <w:rFonts w:ascii="Comic Sans MS" w:hAnsi="Comic Sans MS"/>
                <w:sz w:val="20"/>
                <w:szCs w:val="20"/>
              </w:rPr>
              <w:t>Staff able to job carve and use TSI</w:t>
            </w:r>
          </w:p>
          <w:p w:rsidR="00337EFF" w:rsidRPr="003E5A15" w:rsidRDefault="00337EFF" w:rsidP="003E5A15">
            <w:pPr>
              <w:rPr>
                <w:rFonts w:ascii="Comic Sans MS" w:hAnsi="Comic Sans MS"/>
                <w:sz w:val="20"/>
                <w:szCs w:val="20"/>
              </w:rPr>
            </w:pPr>
            <w:r>
              <w:rPr>
                <w:rFonts w:ascii="Comic Sans MS" w:hAnsi="Comic Sans MS"/>
                <w:sz w:val="20"/>
                <w:szCs w:val="20"/>
              </w:rPr>
              <w:t>Staff to collate information on each student and their access to work experience and employer encounters from Y7 onwards.</w:t>
            </w:r>
          </w:p>
        </w:tc>
      </w:tr>
      <w:tr w:rsidR="0082694F" w:rsidTr="007539D3">
        <w:tc>
          <w:tcPr>
            <w:tcW w:w="9242" w:type="dxa"/>
            <w:shd w:val="clear" w:color="auto" w:fill="DBE5F1" w:themeFill="accent1" w:themeFillTint="33"/>
          </w:tcPr>
          <w:p w:rsidR="0082694F" w:rsidRPr="0082694F" w:rsidRDefault="0082694F" w:rsidP="007539D3">
            <w:pPr>
              <w:rPr>
                <w:rFonts w:ascii="Comic Sans MS" w:hAnsi="Comic Sans MS"/>
              </w:rPr>
            </w:pPr>
            <w:r w:rsidRPr="0082694F">
              <w:rPr>
                <w:rFonts w:ascii="Comic Sans MS" w:hAnsi="Comic Sans MS"/>
              </w:rPr>
              <w:t>Monitoring and evaluation</w:t>
            </w:r>
          </w:p>
        </w:tc>
      </w:tr>
      <w:tr w:rsidR="0082694F" w:rsidTr="007539D3">
        <w:tc>
          <w:tcPr>
            <w:tcW w:w="9242" w:type="dxa"/>
          </w:tcPr>
          <w:p w:rsidR="0082694F" w:rsidRDefault="0082694F" w:rsidP="007539D3">
            <w:pPr>
              <w:pStyle w:val="NormalWeb"/>
              <w:shd w:val="clear" w:color="auto" w:fill="FFFFFF"/>
              <w:spacing w:before="0" w:beforeAutospacing="0" w:after="0" w:afterAutospacing="0"/>
              <w:textAlignment w:val="top"/>
              <w:rPr>
                <w:rFonts w:ascii="Comic Sans MS" w:hAnsi="Comic Sans MS" w:cs="Arial"/>
                <w:sz w:val="20"/>
                <w:szCs w:val="22"/>
                <w:bdr w:val="none" w:sz="0" w:space="0" w:color="auto" w:frame="1"/>
              </w:rPr>
            </w:pPr>
            <w:r w:rsidRPr="00863AF6">
              <w:rPr>
                <w:rFonts w:ascii="Comic Sans MS" w:hAnsi="Comic Sans MS" w:cs="Arial"/>
                <w:sz w:val="20"/>
                <w:szCs w:val="22"/>
                <w:bdr w:val="none" w:sz="0" w:space="0" w:color="auto" w:frame="1"/>
              </w:rPr>
              <w:t xml:space="preserve">The Head teacher, </w:t>
            </w:r>
            <w:r w:rsidR="002A45E5">
              <w:rPr>
                <w:rFonts w:ascii="Comic Sans MS" w:hAnsi="Comic Sans MS" w:cs="Arial"/>
                <w:sz w:val="20"/>
                <w:szCs w:val="22"/>
                <w:bdr w:val="none" w:sz="0" w:space="0" w:color="auto" w:frame="1"/>
              </w:rPr>
              <w:t xml:space="preserve">Deputy Head, </w:t>
            </w:r>
            <w:r w:rsidRPr="00863AF6">
              <w:rPr>
                <w:rFonts w:ascii="Comic Sans MS" w:hAnsi="Comic Sans MS" w:cs="Arial"/>
                <w:sz w:val="20"/>
                <w:szCs w:val="22"/>
                <w:bdr w:val="none" w:sz="0" w:space="0" w:color="auto" w:frame="1"/>
              </w:rPr>
              <w:t xml:space="preserve">Assistant Heads, the </w:t>
            </w:r>
            <w:r w:rsidR="003E3319">
              <w:rPr>
                <w:rFonts w:ascii="Comic Sans MS" w:hAnsi="Comic Sans MS" w:cs="Arial"/>
                <w:sz w:val="20"/>
                <w:szCs w:val="22"/>
                <w:bdr w:val="none" w:sz="0" w:space="0" w:color="auto" w:frame="1"/>
              </w:rPr>
              <w:t xml:space="preserve">Work Related Learning </w:t>
            </w:r>
            <w:r w:rsidRPr="00863AF6">
              <w:rPr>
                <w:rFonts w:ascii="Comic Sans MS" w:hAnsi="Comic Sans MS" w:cs="Arial"/>
                <w:sz w:val="20"/>
                <w:szCs w:val="22"/>
                <w:bdr w:val="none" w:sz="0" w:space="0" w:color="auto" w:frame="1"/>
              </w:rPr>
              <w:t xml:space="preserve">Co-ordinator, Assessment Co-ordinator monitors </w:t>
            </w:r>
            <w:r w:rsidR="003E3319">
              <w:rPr>
                <w:rFonts w:ascii="Comic Sans MS" w:hAnsi="Comic Sans MS" w:cs="Arial"/>
                <w:sz w:val="20"/>
                <w:szCs w:val="22"/>
                <w:bdr w:val="none" w:sz="0" w:space="0" w:color="auto" w:frame="1"/>
              </w:rPr>
              <w:t xml:space="preserve">WRL </w:t>
            </w:r>
            <w:r w:rsidR="0067787E">
              <w:rPr>
                <w:rFonts w:ascii="Comic Sans MS" w:hAnsi="Comic Sans MS" w:cs="Arial"/>
                <w:sz w:val="20"/>
                <w:szCs w:val="22"/>
                <w:bdr w:val="none" w:sz="0" w:space="0" w:color="auto" w:frame="1"/>
              </w:rPr>
              <w:t>h</w:t>
            </w:r>
            <w:r w:rsidRPr="00863AF6">
              <w:rPr>
                <w:rFonts w:ascii="Comic Sans MS" w:hAnsi="Comic Sans MS" w:cs="Arial"/>
                <w:sz w:val="20"/>
                <w:szCs w:val="22"/>
                <w:bdr w:val="none" w:sz="0" w:space="0" w:color="auto" w:frame="1"/>
              </w:rPr>
              <w:t xml:space="preserve">aving identified priorities, the SMT and </w:t>
            </w:r>
            <w:r w:rsidR="002A45E5">
              <w:rPr>
                <w:rFonts w:ascii="Comic Sans MS" w:hAnsi="Comic Sans MS" w:cs="Arial"/>
                <w:sz w:val="20"/>
                <w:szCs w:val="22"/>
                <w:bdr w:val="none" w:sz="0" w:space="0" w:color="auto" w:frame="1"/>
              </w:rPr>
              <w:t>WRL</w:t>
            </w:r>
            <w:r w:rsidRPr="00863AF6">
              <w:rPr>
                <w:rFonts w:ascii="Comic Sans MS" w:hAnsi="Comic Sans MS" w:cs="Arial"/>
                <w:sz w:val="20"/>
                <w:szCs w:val="22"/>
                <w:bdr w:val="none" w:sz="0" w:space="0" w:color="auto" w:frame="1"/>
              </w:rPr>
              <w:t xml:space="preserve"> Co-ordinator construct an action plan that may form part of the School Development Plan. This forms the basis for any monitoring activities and will clearly identify when, who and what is to be monitored and how this will take place e.g. classroom observation, planning scrutiny, work sampling etc.</w:t>
            </w:r>
          </w:p>
          <w:p w:rsidR="0082694F" w:rsidRPr="0082694F" w:rsidRDefault="0082694F" w:rsidP="007539D3">
            <w:pPr>
              <w:pStyle w:val="NormalWeb"/>
              <w:shd w:val="clear" w:color="auto" w:fill="FFFFFF"/>
              <w:spacing w:before="0" w:beforeAutospacing="0" w:after="0" w:afterAutospacing="0"/>
              <w:textAlignment w:val="top"/>
              <w:rPr>
                <w:rFonts w:ascii="Comic Sans MS" w:hAnsi="Comic Sans MS"/>
                <w:sz w:val="22"/>
                <w:szCs w:val="22"/>
              </w:rPr>
            </w:pPr>
            <w:r w:rsidRPr="00863AF6">
              <w:rPr>
                <w:rFonts w:ascii="Comic Sans MS" w:hAnsi="Comic Sans MS" w:cs="Arial"/>
                <w:color w:val="070606"/>
                <w:sz w:val="20"/>
                <w:szCs w:val="22"/>
              </w:rPr>
              <w:t> </w:t>
            </w:r>
          </w:p>
        </w:tc>
      </w:tr>
    </w:tbl>
    <w:p w:rsidR="005C2464" w:rsidRPr="005C2464" w:rsidRDefault="005C2464" w:rsidP="005C2464">
      <w:pPr>
        <w:pStyle w:val="NormalWeb"/>
        <w:shd w:val="clear" w:color="auto" w:fill="FFFFFF"/>
        <w:spacing w:before="0" w:beforeAutospacing="0" w:after="0" w:afterAutospacing="0"/>
        <w:textAlignment w:val="top"/>
        <w:rPr>
          <w:rFonts w:ascii="Comic Sans MS" w:hAnsi="Comic Sans MS" w:cs="Arial"/>
          <w:b/>
          <w:sz w:val="20"/>
          <w:szCs w:val="22"/>
        </w:rPr>
      </w:pPr>
      <w:r w:rsidRPr="005C2464">
        <w:rPr>
          <w:rFonts w:ascii="Comic Sans MS" w:hAnsi="Comic Sans MS" w:cs="Arial"/>
          <w:b/>
          <w:sz w:val="20"/>
          <w:szCs w:val="22"/>
          <w:bdr w:val="none" w:sz="0" w:space="0" w:color="auto" w:frame="1"/>
        </w:rPr>
        <w:t>Review date:</w:t>
      </w:r>
      <w:r w:rsidRPr="005C2464">
        <w:rPr>
          <w:rFonts w:ascii="Comic Sans MS" w:hAnsi="Comic Sans MS" w:cs="Arial"/>
          <w:b/>
          <w:sz w:val="20"/>
          <w:szCs w:val="22"/>
          <w:bdr w:val="none" w:sz="0" w:space="0" w:color="auto" w:frame="1"/>
        </w:rPr>
        <w:t xml:space="preserve">  </w:t>
      </w:r>
      <w:r w:rsidRPr="005C2464">
        <w:rPr>
          <w:rFonts w:ascii="Comic Sans MS" w:hAnsi="Comic Sans MS" w:cs="Arial"/>
          <w:b/>
          <w:sz w:val="20"/>
          <w:szCs w:val="22"/>
          <w:bdr w:val="none" w:sz="0" w:space="0" w:color="auto" w:frame="1"/>
        </w:rPr>
        <w:t>5.7.</w:t>
      </w:r>
      <w:r w:rsidRPr="005C2464">
        <w:rPr>
          <w:rFonts w:ascii="Comic Sans MS" w:hAnsi="Comic Sans MS" w:cs="Arial"/>
          <w:b/>
          <w:sz w:val="20"/>
          <w:szCs w:val="22"/>
          <w:bdr w:val="none" w:sz="0" w:space="0" w:color="auto" w:frame="1"/>
        </w:rPr>
        <w:t>20</w:t>
      </w:r>
      <w:r w:rsidRPr="005C2464">
        <w:rPr>
          <w:rFonts w:ascii="Comic Sans MS" w:hAnsi="Comic Sans MS" w:cs="Arial"/>
          <w:b/>
          <w:sz w:val="20"/>
          <w:szCs w:val="22"/>
          <w:bdr w:val="none" w:sz="0" w:space="0" w:color="auto" w:frame="1"/>
        </w:rPr>
        <w:t>21</w:t>
      </w:r>
    </w:p>
    <w:p w:rsidR="00B43623" w:rsidRDefault="00984BF3">
      <w:r>
        <w:rPr>
          <w:rFonts w:ascii="Comic Sans MS" w:hAnsi="Comic Sans MS"/>
          <w:b/>
          <w:noProof/>
          <w:sz w:val="36"/>
          <w:szCs w:val="40"/>
          <w:u w:val="single"/>
          <w:lang w:eastAsia="en-GB"/>
        </w:rPr>
        <mc:AlternateContent>
          <mc:Choice Requires="wps">
            <w:drawing>
              <wp:anchor distT="0" distB="0" distL="114300" distR="114300" simplePos="0" relativeHeight="251661312" behindDoc="0" locked="0" layoutInCell="1" allowOverlap="1" wp14:anchorId="2C23988F" wp14:editId="6CA06410">
                <wp:simplePos x="0" y="0"/>
                <wp:positionH relativeFrom="column">
                  <wp:posOffset>1304014</wp:posOffset>
                </wp:positionH>
                <wp:positionV relativeFrom="paragraph">
                  <wp:posOffset>-477078</wp:posOffset>
                </wp:positionV>
                <wp:extent cx="3188335" cy="121654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88335" cy="1216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6F5" w:rsidRDefault="001F5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7pt;margin-top:-37.55pt;width:251.05pt;height:9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" filled="f" stroked="f" strokeweight=".5pt">
                <v:textbox>
                  <w:txbxContent>
                    <w:p w:rsidR="001F56F5" w:rsidRDefault="001F56F5"/>
                  </w:txbxContent>
                </v:textbox>
              </v:shape>
            </w:pict>
          </mc:Fallback>
        </mc:AlternateContent>
      </w:r>
    </w:p>
    <w:sectPr w:rsidR="00B43623" w:rsidSect="00E9058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89C"/>
    <w:multiLevelType w:val="hybridMultilevel"/>
    <w:tmpl w:val="96DC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A3CA9"/>
    <w:multiLevelType w:val="hybridMultilevel"/>
    <w:tmpl w:val="D772D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7E1F98"/>
    <w:multiLevelType w:val="hybridMultilevel"/>
    <w:tmpl w:val="992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56277"/>
    <w:multiLevelType w:val="hybridMultilevel"/>
    <w:tmpl w:val="7BB0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40EE9"/>
    <w:multiLevelType w:val="hybridMultilevel"/>
    <w:tmpl w:val="6FF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646C"/>
    <w:multiLevelType w:val="hybridMultilevel"/>
    <w:tmpl w:val="A0C0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4F"/>
    <w:rsid w:val="00065E81"/>
    <w:rsid w:val="00091E5E"/>
    <w:rsid w:val="00094545"/>
    <w:rsid w:val="00097104"/>
    <w:rsid w:val="001269F7"/>
    <w:rsid w:val="001452B0"/>
    <w:rsid w:val="001A653E"/>
    <w:rsid w:val="001F56F5"/>
    <w:rsid w:val="00221DE6"/>
    <w:rsid w:val="002701CB"/>
    <w:rsid w:val="002953FD"/>
    <w:rsid w:val="002A45E5"/>
    <w:rsid w:val="00337EFF"/>
    <w:rsid w:val="003E3319"/>
    <w:rsid w:val="003E5A15"/>
    <w:rsid w:val="003F063C"/>
    <w:rsid w:val="0040753F"/>
    <w:rsid w:val="00421FED"/>
    <w:rsid w:val="00464724"/>
    <w:rsid w:val="004679D3"/>
    <w:rsid w:val="00507F9C"/>
    <w:rsid w:val="005B4886"/>
    <w:rsid w:val="005C2464"/>
    <w:rsid w:val="005F7880"/>
    <w:rsid w:val="0067787E"/>
    <w:rsid w:val="0069405C"/>
    <w:rsid w:val="006949D5"/>
    <w:rsid w:val="006A5D5D"/>
    <w:rsid w:val="006D7271"/>
    <w:rsid w:val="007539D3"/>
    <w:rsid w:val="00756F10"/>
    <w:rsid w:val="0082694F"/>
    <w:rsid w:val="00863AF6"/>
    <w:rsid w:val="0086419A"/>
    <w:rsid w:val="008A4D1B"/>
    <w:rsid w:val="009472F9"/>
    <w:rsid w:val="00984BF3"/>
    <w:rsid w:val="0099305D"/>
    <w:rsid w:val="00AB0597"/>
    <w:rsid w:val="00AF580D"/>
    <w:rsid w:val="00B05299"/>
    <w:rsid w:val="00B43623"/>
    <w:rsid w:val="00C21068"/>
    <w:rsid w:val="00C34571"/>
    <w:rsid w:val="00C45853"/>
    <w:rsid w:val="00CF0D49"/>
    <w:rsid w:val="00D2427E"/>
    <w:rsid w:val="00E00246"/>
    <w:rsid w:val="00E77367"/>
    <w:rsid w:val="00E835F5"/>
    <w:rsid w:val="00E90582"/>
    <w:rsid w:val="00EC2A4B"/>
    <w:rsid w:val="00EE7808"/>
    <w:rsid w:val="00F1210C"/>
    <w:rsid w:val="00F5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694F"/>
    <w:rPr>
      <w:b/>
      <w:bCs/>
    </w:rPr>
  </w:style>
  <w:style w:type="character" w:styleId="Emphasis">
    <w:name w:val="Emphasis"/>
    <w:basedOn w:val="DefaultParagraphFont"/>
    <w:uiPriority w:val="20"/>
    <w:qFormat/>
    <w:rsid w:val="0086419A"/>
    <w:rPr>
      <w:b/>
      <w:bCs/>
      <w:i w:val="0"/>
      <w:iCs w:val="0"/>
    </w:rPr>
  </w:style>
  <w:style w:type="paragraph" w:styleId="ListParagraph">
    <w:name w:val="List Paragraph"/>
    <w:basedOn w:val="Normal"/>
    <w:uiPriority w:val="34"/>
    <w:qFormat/>
    <w:rsid w:val="0086419A"/>
    <w:pPr>
      <w:ind w:left="720"/>
      <w:contextualSpacing/>
    </w:pPr>
  </w:style>
  <w:style w:type="paragraph" w:styleId="PlainText">
    <w:name w:val="Plain Text"/>
    <w:basedOn w:val="Normal"/>
    <w:link w:val="PlainTextChar"/>
    <w:uiPriority w:val="99"/>
    <w:semiHidden/>
    <w:unhideWhenUsed/>
    <w:rsid w:val="00E773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7367"/>
    <w:rPr>
      <w:rFonts w:ascii="Calibri" w:hAnsi="Calibri"/>
      <w:szCs w:val="21"/>
    </w:rPr>
  </w:style>
  <w:style w:type="paragraph" w:styleId="BalloonText">
    <w:name w:val="Balloon Text"/>
    <w:basedOn w:val="Normal"/>
    <w:link w:val="BalloonTextChar"/>
    <w:uiPriority w:val="99"/>
    <w:semiHidden/>
    <w:unhideWhenUsed/>
    <w:rsid w:val="0075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694F"/>
    <w:rPr>
      <w:b/>
      <w:bCs/>
    </w:rPr>
  </w:style>
  <w:style w:type="character" w:styleId="Emphasis">
    <w:name w:val="Emphasis"/>
    <w:basedOn w:val="DefaultParagraphFont"/>
    <w:uiPriority w:val="20"/>
    <w:qFormat/>
    <w:rsid w:val="0086419A"/>
    <w:rPr>
      <w:b/>
      <w:bCs/>
      <w:i w:val="0"/>
      <w:iCs w:val="0"/>
    </w:rPr>
  </w:style>
  <w:style w:type="paragraph" w:styleId="ListParagraph">
    <w:name w:val="List Paragraph"/>
    <w:basedOn w:val="Normal"/>
    <w:uiPriority w:val="34"/>
    <w:qFormat/>
    <w:rsid w:val="0086419A"/>
    <w:pPr>
      <w:ind w:left="720"/>
      <w:contextualSpacing/>
    </w:pPr>
  </w:style>
  <w:style w:type="paragraph" w:styleId="PlainText">
    <w:name w:val="Plain Text"/>
    <w:basedOn w:val="Normal"/>
    <w:link w:val="PlainTextChar"/>
    <w:uiPriority w:val="99"/>
    <w:semiHidden/>
    <w:unhideWhenUsed/>
    <w:rsid w:val="00E773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7367"/>
    <w:rPr>
      <w:rFonts w:ascii="Calibri" w:hAnsi="Calibri"/>
      <w:szCs w:val="21"/>
    </w:rPr>
  </w:style>
  <w:style w:type="paragraph" w:styleId="BalloonText">
    <w:name w:val="Balloon Text"/>
    <w:basedOn w:val="Normal"/>
    <w:link w:val="BalloonTextChar"/>
    <w:uiPriority w:val="99"/>
    <w:semiHidden/>
    <w:unhideWhenUsed/>
    <w:rsid w:val="0075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2381">
      <w:bodyDiv w:val="1"/>
      <w:marLeft w:val="0"/>
      <w:marRight w:val="0"/>
      <w:marTop w:val="0"/>
      <w:marBottom w:val="0"/>
      <w:divBdr>
        <w:top w:val="none" w:sz="0" w:space="0" w:color="auto"/>
        <w:left w:val="none" w:sz="0" w:space="0" w:color="auto"/>
        <w:bottom w:val="none" w:sz="0" w:space="0" w:color="auto"/>
        <w:right w:val="none" w:sz="0" w:space="0" w:color="auto"/>
      </w:divBdr>
    </w:div>
    <w:div w:id="631518134">
      <w:bodyDiv w:val="1"/>
      <w:marLeft w:val="0"/>
      <w:marRight w:val="0"/>
      <w:marTop w:val="0"/>
      <w:marBottom w:val="0"/>
      <w:divBdr>
        <w:top w:val="none" w:sz="0" w:space="0" w:color="auto"/>
        <w:left w:val="none" w:sz="0" w:space="0" w:color="auto"/>
        <w:bottom w:val="none" w:sz="0" w:space="0" w:color="auto"/>
        <w:right w:val="none" w:sz="0" w:space="0" w:color="auto"/>
      </w:divBdr>
    </w:div>
    <w:div w:id="659965297">
      <w:bodyDiv w:val="1"/>
      <w:marLeft w:val="0"/>
      <w:marRight w:val="0"/>
      <w:marTop w:val="0"/>
      <w:marBottom w:val="0"/>
      <w:divBdr>
        <w:top w:val="none" w:sz="0" w:space="0" w:color="auto"/>
        <w:left w:val="none" w:sz="0" w:space="0" w:color="auto"/>
        <w:bottom w:val="none" w:sz="0" w:space="0" w:color="auto"/>
        <w:right w:val="none" w:sz="0" w:space="0" w:color="auto"/>
      </w:divBdr>
    </w:div>
    <w:div w:id="997198414">
      <w:bodyDiv w:val="1"/>
      <w:marLeft w:val="0"/>
      <w:marRight w:val="0"/>
      <w:marTop w:val="0"/>
      <w:marBottom w:val="0"/>
      <w:divBdr>
        <w:top w:val="none" w:sz="0" w:space="0" w:color="auto"/>
        <w:left w:val="none" w:sz="0" w:space="0" w:color="auto"/>
        <w:bottom w:val="none" w:sz="0" w:space="0" w:color="auto"/>
        <w:right w:val="none" w:sz="0" w:space="0" w:color="auto"/>
      </w:divBdr>
    </w:div>
    <w:div w:id="1965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Wright Robinson Sports College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cp:revision>
  <dcterms:created xsi:type="dcterms:W3CDTF">2019-09-11T12:31:00Z</dcterms:created>
  <dcterms:modified xsi:type="dcterms:W3CDTF">2019-09-11T12:31:00Z</dcterms:modified>
</cp:coreProperties>
</file>